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81</w:t>
      </w:r>
      <w:r w:rsidR="00046D3F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046D3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Rozliczanie kontraktów i innych umów o zarządzanie </w:t>
            </w: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br/>
              <w:t>w spółkach Skarbu Państwa</w:t>
            </w:r>
          </w:p>
          <w:p w:rsidR="00C20EED" w:rsidRPr="009D4C5F" w:rsidRDefault="00046D3F" w:rsidP="006E44E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E44E5">
              <w:rPr>
                <w:rFonts w:ascii="Arial" w:hAnsi="Arial" w:cs="Arial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AF5A86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46D3F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046D3F">
              <w:rPr>
                <w:rFonts w:ascii="Myriad Web" w:hAnsi="Myriad Web"/>
                <w:b/>
                <w:sz w:val="20"/>
              </w:rPr>
              <w:t>3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46D3F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AF5A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46D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4E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2018-04-05T09:48:00Z</dcterms:created>
  <dcterms:modified xsi:type="dcterms:W3CDTF">2018-04-05T09:48:00Z</dcterms:modified>
</cp:coreProperties>
</file>